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6C" w:rsidRDefault="0010376C" w:rsidP="0010376C">
      <w:pPr>
        <w:pStyle w:val="NormalWeb"/>
        <w:spacing w:beforeAutospacing="0" w:after="0"/>
        <w:ind w:left="720"/>
        <w:jc w:val="both"/>
        <w:rPr>
          <w:sz w:val="22"/>
          <w:szCs w:val="22"/>
          <w:u w:val="single"/>
        </w:rPr>
      </w:pPr>
      <w:r>
        <w:rPr>
          <w:sz w:val="22"/>
          <w:szCs w:val="22"/>
          <w:u w:val="single"/>
        </w:rPr>
        <w:t>Mõisteid</w:t>
      </w:r>
    </w:p>
    <w:p w:rsidR="0010376C" w:rsidRDefault="0010376C" w:rsidP="0010376C">
      <w:pPr>
        <w:pStyle w:val="NormalWeb"/>
        <w:numPr>
          <w:ilvl w:val="0"/>
          <w:numId w:val="1"/>
        </w:numPr>
        <w:spacing w:beforeAutospacing="0" w:after="0"/>
        <w:jc w:val="both"/>
        <w:rPr>
          <w:sz w:val="22"/>
          <w:szCs w:val="22"/>
        </w:rPr>
      </w:pPr>
      <w:r>
        <w:rPr>
          <w:sz w:val="22"/>
          <w:szCs w:val="22"/>
          <w:u w:val="single"/>
        </w:rPr>
        <w:t>Analüüs</w:t>
      </w:r>
      <w:r>
        <w:rPr>
          <w:sz w:val="22"/>
          <w:szCs w:val="22"/>
        </w:rPr>
        <w:t xml:space="preserve"> – objekti (eseme, nähtuse, omaduse või suhte) mõtteline liigendamine või koostisosadeks ehk algosadeks lahutamine (või ka mõiste lahutamine tunnusteks). Saadud koostis- või algosad kirjeldatakse eraldi ja võrreldakse (teiste sarnaste objektide, nähtuste, omaduste või suhetega VÕI saadud tulemusi võrreldakse teiste autorite samal teemal tehtud uuringute tulemustega). Võrdlusega luuakse seoseid kogu käsitletava materjali ulatuses. Analüüsi põhjendused ja selgitused (nt miks see nii on/tuli, kas see on hea, halb – mis aspektidest lähtuvalt otsus on tehtud...) moodustavad töös arutelu. Analüüs on tihedalt seotud muude mõtlemisoperatsioonidega (võrdlus, süntees, üldistamine). </w:t>
      </w:r>
    </w:p>
    <w:p w:rsidR="0010376C" w:rsidRDefault="0010376C" w:rsidP="0010376C">
      <w:pPr>
        <w:pStyle w:val="NormalWeb"/>
        <w:numPr>
          <w:ilvl w:val="0"/>
          <w:numId w:val="1"/>
        </w:numPr>
        <w:spacing w:beforeAutospacing="0" w:after="0"/>
        <w:jc w:val="both"/>
        <w:rPr>
          <w:sz w:val="22"/>
          <w:szCs w:val="22"/>
        </w:rPr>
      </w:pPr>
      <w:r>
        <w:rPr>
          <w:sz w:val="22"/>
          <w:szCs w:val="22"/>
          <w:u w:val="single"/>
        </w:rPr>
        <w:t>Süntees</w:t>
      </w:r>
      <w:r>
        <w:rPr>
          <w:sz w:val="22"/>
          <w:szCs w:val="22"/>
        </w:rPr>
        <w:t xml:space="preserve"> – (kr `ühendamine`, `liitmine`) eseme, nähtuse, omaduse või suhte käsitletud koostisosade ühendamine ühtseks (uueks) tervikuks. Süntees võimaldab tunnetada terviku seesmist seost. </w:t>
      </w:r>
    </w:p>
    <w:p w:rsidR="0010376C" w:rsidRDefault="0010376C" w:rsidP="0010376C">
      <w:pPr>
        <w:pStyle w:val="NormalWeb"/>
        <w:numPr>
          <w:ilvl w:val="0"/>
          <w:numId w:val="1"/>
        </w:numPr>
        <w:spacing w:beforeAutospacing="0" w:after="0"/>
        <w:jc w:val="both"/>
        <w:rPr>
          <w:sz w:val="22"/>
          <w:szCs w:val="22"/>
        </w:rPr>
      </w:pPr>
      <w:r>
        <w:rPr>
          <w:sz w:val="22"/>
          <w:szCs w:val="22"/>
          <w:u w:val="single"/>
        </w:rPr>
        <w:t>Võrdlus</w:t>
      </w:r>
      <w:r>
        <w:rPr>
          <w:sz w:val="22"/>
          <w:szCs w:val="22"/>
        </w:rPr>
        <w:t xml:space="preserve"> – meetod, mille puhul uuritavat suurust kõrvutatakse mingi kindla fakti või mõõduga ehk etaloniga. Võrdlemisel tuuakse tavaliselt välja sarnasused ja erinevused.</w:t>
      </w:r>
    </w:p>
    <w:p w:rsidR="0010376C" w:rsidRDefault="0010376C" w:rsidP="0010376C">
      <w:pPr>
        <w:pStyle w:val="NormalWeb"/>
        <w:numPr>
          <w:ilvl w:val="0"/>
          <w:numId w:val="1"/>
        </w:numPr>
        <w:spacing w:beforeAutospacing="0" w:after="0"/>
        <w:jc w:val="both"/>
        <w:rPr>
          <w:sz w:val="22"/>
          <w:szCs w:val="22"/>
        </w:rPr>
      </w:pPr>
      <w:r>
        <w:rPr>
          <w:sz w:val="22"/>
          <w:szCs w:val="22"/>
          <w:u w:val="single"/>
        </w:rPr>
        <w:t>Üldistamine</w:t>
      </w:r>
      <w:r>
        <w:rPr>
          <w:sz w:val="22"/>
          <w:szCs w:val="22"/>
        </w:rPr>
        <w:t xml:space="preserve"> – on </w:t>
      </w:r>
      <w:hyperlink r:id="rId6" w:tooltip="Loogiline mõtlemine" w:history="1">
        <w:r>
          <w:rPr>
            <w:rStyle w:val="Hyperlink"/>
            <w:sz w:val="22"/>
            <w:szCs w:val="22"/>
          </w:rPr>
          <w:t>loogilise mõtlemise</w:t>
        </w:r>
      </w:hyperlink>
      <w:r>
        <w:rPr>
          <w:sz w:val="22"/>
          <w:szCs w:val="22"/>
        </w:rPr>
        <w:t xml:space="preserve"> võte, mille abil mõttes ühendatakse sarnaste nähtuste üldised ja olulised omadused või vähem üldisest üldisema teadmise loomine. Üldistamise protsessis leitakse erinevate nähtuste/mõtete/näitajate vahel ühiseid omadusi või jooni (olulisi seoseid).</w:t>
      </w:r>
    </w:p>
    <w:p w:rsidR="0010376C" w:rsidRDefault="0010376C" w:rsidP="0010376C">
      <w:pPr>
        <w:pStyle w:val="NormalWeb"/>
        <w:numPr>
          <w:ilvl w:val="0"/>
          <w:numId w:val="1"/>
        </w:numPr>
        <w:spacing w:beforeAutospacing="0" w:after="0"/>
        <w:jc w:val="both"/>
        <w:rPr>
          <w:sz w:val="22"/>
          <w:szCs w:val="22"/>
        </w:rPr>
      </w:pPr>
      <w:r>
        <w:rPr>
          <w:sz w:val="22"/>
          <w:szCs w:val="22"/>
          <w:u w:val="single"/>
        </w:rPr>
        <w:t>Järeldus</w:t>
      </w:r>
      <w:r>
        <w:rPr>
          <w:sz w:val="22"/>
          <w:szCs w:val="22"/>
        </w:rPr>
        <w:t xml:space="preserve"> – loogilise mõtlemise võte, kus olemasolevate andmete analüüsimisel saadakse uus tulemus (ühest või mitmest otsustusest/i eeldusest – saadakse uus otsustus ehk tuletis.</w:t>
      </w:r>
      <w:bookmarkStart w:id="0" w:name="_UURIMISTÖÖGA_SEOTUD_OLULISED"/>
      <w:bookmarkEnd w:id="0"/>
    </w:p>
    <w:p w:rsidR="0010376C" w:rsidRDefault="0010376C" w:rsidP="0010376C">
      <w:pPr>
        <w:pStyle w:val="NormalWeb"/>
        <w:numPr>
          <w:ilvl w:val="0"/>
          <w:numId w:val="1"/>
        </w:numPr>
        <w:spacing w:beforeAutospacing="0" w:after="0"/>
        <w:rPr>
          <w:sz w:val="22"/>
          <w:szCs w:val="22"/>
        </w:rPr>
      </w:pPr>
      <w:r>
        <w:rPr>
          <w:sz w:val="22"/>
          <w:szCs w:val="22"/>
          <w:u w:val="single"/>
        </w:rPr>
        <w:t>bibliograafia</w:t>
      </w:r>
      <w:r>
        <w:rPr>
          <w:sz w:val="22"/>
          <w:szCs w:val="22"/>
        </w:rPr>
        <w:t xml:space="preserve"> ehk kirjanduse nimestik – teaduslikes töödes raamatute, ajakirjade ja kirjutiste loend kõikide põhiandmetega (autor, materjali pealkiri, ilmumiskoht ja -aasta, kirjastus, kasutatud lk)</w:t>
      </w:r>
    </w:p>
    <w:p w:rsidR="0010376C" w:rsidRDefault="0010376C" w:rsidP="0010376C">
      <w:pPr>
        <w:pStyle w:val="NormalWeb"/>
        <w:numPr>
          <w:ilvl w:val="0"/>
          <w:numId w:val="1"/>
        </w:numPr>
        <w:spacing w:beforeAutospacing="0" w:after="0"/>
        <w:rPr>
          <w:sz w:val="22"/>
          <w:szCs w:val="22"/>
        </w:rPr>
      </w:pPr>
      <w:r>
        <w:rPr>
          <w:sz w:val="22"/>
          <w:szCs w:val="22"/>
          <w:u w:val="single"/>
        </w:rPr>
        <w:t>kasutatud kirjandus</w:t>
      </w:r>
      <w:r>
        <w:rPr>
          <w:sz w:val="22"/>
          <w:szCs w:val="22"/>
        </w:rPr>
        <w:t xml:space="preserve"> – loend kõikidest kasutatud avaldatud tekstidest tähestikulises järjekorras (tavaliselt autori perekonnanimede järgi)</w:t>
      </w:r>
    </w:p>
    <w:p w:rsidR="0010376C" w:rsidRDefault="0010376C" w:rsidP="0010376C">
      <w:pPr>
        <w:pStyle w:val="NormalWeb"/>
        <w:numPr>
          <w:ilvl w:val="0"/>
          <w:numId w:val="1"/>
        </w:numPr>
        <w:spacing w:beforeAutospacing="0" w:after="0"/>
        <w:rPr>
          <w:sz w:val="22"/>
          <w:szCs w:val="22"/>
        </w:rPr>
      </w:pPr>
      <w:r>
        <w:rPr>
          <w:sz w:val="22"/>
          <w:szCs w:val="22"/>
          <w:u w:val="single"/>
        </w:rPr>
        <w:t xml:space="preserve">kasutatud materjalid </w:t>
      </w:r>
      <w:r>
        <w:rPr>
          <w:sz w:val="22"/>
          <w:szCs w:val="22"/>
        </w:rPr>
        <w:t>– hõlmab lisaks ilmunud kirjandusele ka dokumentide ja suuliste materjalide ning Internetiaadresside loendit</w:t>
      </w:r>
    </w:p>
    <w:p w:rsidR="0010376C" w:rsidRDefault="0010376C" w:rsidP="0010376C">
      <w:pPr>
        <w:pStyle w:val="NormalWeb"/>
        <w:numPr>
          <w:ilvl w:val="0"/>
          <w:numId w:val="1"/>
        </w:numPr>
        <w:spacing w:beforeAutospacing="0" w:after="0"/>
        <w:rPr>
          <w:sz w:val="22"/>
          <w:szCs w:val="22"/>
        </w:rPr>
      </w:pPr>
      <w:r>
        <w:rPr>
          <w:sz w:val="22"/>
          <w:szCs w:val="22"/>
          <w:u w:val="single"/>
        </w:rPr>
        <w:t>referaat</w:t>
      </w:r>
      <w:r>
        <w:rPr>
          <w:sz w:val="22"/>
          <w:szCs w:val="22"/>
        </w:rPr>
        <w:t xml:space="preserve"> – ümbersõnastatud kokkuvõtlik lühiülevaade, sisukokkuvõte ehk teiste autorite avaldatud seisukohtade oma sõnadega lühidalt edasi andma),  ettekanne, esitus</w:t>
      </w:r>
    </w:p>
    <w:p w:rsidR="0010376C" w:rsidRDefault="0010376C" w:rsidP="0010376C">
      <w:pPr>
        <w:pStyle w:val="NormalWeb"/>
        <w:numPr>
          <w:ilvl w:val="0"/>
          <w:numId w:val="1"/>
        </w:numPr>
        <w:spacing w:beforeAutospacing="0" w:after="0"/>
        <w:rPr>
          <w:sz w:val="22"/>
          <w:szCs w:val="22"/>
        </w:rPr>
      </w:pPr>
      <w:r>
        <w:rPr>
          <w:sz w:val="22"/>
          <w:szCs w:val="22"/>
          <w:u w:val="single"/>
        </w:rPr>
        <w:t>refereerima</w:t>
      </w:r>
      <w:r>
        <w:rPr>
          <w:sz w:val="22"/>
          <w:szCs w:val="22"/>
        </w:rPr>
        <w:t xml:space="preserve"> – teose või artikli sisu lühidalt oma sõnadega esitama, selle mõtet muutmata ja omapoolseid seisukohti lisamata; ka ettekannet pidama</w:t>
      </w:r>
    </w:p>
    <w:p w:rsidR="0010376C" w:rsidRDefault="0010376C" w:rsidP="0010376C">
      <w:pPr>
        <w:pStyle w:val="NormalWeb"/>
        <w:numPr>
          <w:ilvl w:val="0"/>
          <w:numId w:val="1"/>
        </w:numPr>
        <w:spacing w:beforeAutospacing="0" w:after="0"/>
        <w:rPr>
          <w:sz w:val="22"/>
          <w:szCs w:val="22"/>
        </w:rPr>
      </w:pPr>
      <w:r>
        <w:rPr>
          <w:sz w:val="22"/>
          <w:szCs w:val="22"/>
          <w:u w:val="single"/>
        </w:rPr>
        <w:t xml:space="preserve">tsitaat </w:t>
      </w:r>
      <w:r>
        <w:rPr>
          <w:sz w:val="22"/>
          <w:szCs w:val="22"/>
        </w:rPr>
        <w:t>– täpne, tähttäheline väljakirjutus mingist tekstist, mis esitatakse jutumärkides ja koos viitega autorile või allikale koos teose lehekülje numbriga</w:t>
      </w:r>
    </w:p>
    <w:p w:rsidR="0010376C" w:rsidRDefault="0010376C" w:rsidP="0010376C">
      <w:pPr>
        <w:pStyle w:val="NormalWeb"/>
        <w:numPr>
          <w:ilvl w:val="0"/>
          <w:numId w:val="1"/>
        </w:numPr>
        <w:spacing w:beforeAutospacing="0" w:after="0"/>
        <w:rPr>
          <w:sz w:val="22"/>
          <w:szCs w:val="22"/>
        </w:rPr>
      </w:pPr>
      <w:r>
        <w:rPr>
          <w:sz w:val="22"/>
          <w:szCs w:val="22"/>
          <w:u w:val="single"/>
        </w:rPr>
        <w:t>tsiteerima</w:t>
      </w:r>
      <w:r>
        <w:rPr>
          <w:sz w:val="22"/>
          <w:szCs w:val="22"/>
        </w:rPr>
        <w:t xml:space="preserve"> – tsitaadina esitama, osundama kellegi otsetekstile</w:t>
      </w:r>
    </w:p>
    <w:p w:rsidR="0010376C" w:rsidRDefault="0010376C" w:rsidP="0010376C">
      <w:pPr>
        <w:pStyle w:val="NormalWeb"/>
        <w:numPr>
          <w:ilvl w:val="0"/>
          <w:numId w:val="1"/>
        </w:numPr>
        <w:spacing w:beforeAutospacing="0" w:after="0"/>
        <w:rPr>
          <w:sz w:val="22"/>
          <w:szCs w:val="22"/>
        </w:rPr>
      </w:pPr>
      <w:r>
        <w:rPr>
          <w:sz w:val="22"/>
          <w:szCs w:val="22"/>
          <w:u w:val="single"/>
        </w:rPr>
        <w:t xml:space="preserve">valim </w:t>
      </w:r>
      <w:r>
        <w:rPr>
          <w:sz w:val="22"/>
          <w:szCs w:val="22"/>
        </w:rPr>
        <w:t>– väljavõtukogum statistikas (näiteks küsitlusele vastanute arv, katsete/vaatluste arv)</w:t>
      </w:r>
    </w:p>
    <w:p w:rsidR="0010376C" w:rsidRDefault="0010376C" w:rsidP="0010376C">
      <w:pPr>
        <w:pStyle w:val="ListParagraph"/>
        <w:numPr>
          <w:ilvl w:val="0"/>
          <w:numId w:val="1"/>
        </w:numPr>
        <w:rPr>
          <w:sz w:val="22"/>
          <w:szCs w:val="22"/>
          <w:lang w:val="fi-FI"/>
        </w:rPr>
      </w:pPr>
      <w:r>
        <w:rPr>
          <w:sz w:val="22"/>
          <w:szCs w:val="22"/>
          <w:u w:val="single"/>
          <w:lang w:val="fi-FI"/>
        </w:rPr>
        <w:t>viide</w:t>
      </w:r>
      <w:r>
        <w:rPr>
          <w:sz w:val="22"/>
          <w:szCs w:val="22"/>
          <w:lang w:val="fi-FI"/>
        </w:rPr>
        <w:t xml:space="preserve"> – suunaja, osundaja teosele või muule algallikale, ka joonistele, lisadele, tabelitele         </w:t>
      </w:r>
      <w:r>
        <w:rPr>
          <w:sz w:val="22"/>
          <w:szCs w:val="22"/>
          <w:lang w:val="fi-FI"/>
        </w:rPr>
        <w:tab/>
      </w:r>
      <w:r>
        <w:rPr>
          <w:sz w:val="22"/>
          <w:szCs w:val="22"/>
          <w:lang w:val="fi-FI"/>
        </w:rPr>
        <w:tab/>
        <w:t>tekstis. Algallikatele eristatakse joonealust, tekstisisest, tekstijärgset viitamist.</w:t>
      </w:r>
      <w:r>
        <w:rPr>
          <w:sz w:val="22"/>
          <w:szCs w:val="22"/>
          <w:lang w:val="fi-FI"/>
        </w:rPr>
        <w:br/>
      </w:r>
    </w:p>
    <w:p w:rsidR="0010376C" w:rsidRDefault="0010376C" w:rsidP="0010376C">
      <w:pPr>
        <w:pStyle w:val="ListParagraph"/>
        <w:numPr>
          <w:ilvl w:val="0"/>
          <w:numId w:val="1"/>
        </w:numPr>
        <w:autoSpaceDE w:val="0"/>
        <w:autoSpaceDN w:val="0"/>
        <w:adjustRightInd w:val="0"/>
        <w:spacing w:after="0"/>
        <w:jc w:val="left"/>
        <w:rPr>
          <w:rFonts w:ascii="Times New Roman" w:eastAsia="Calibri" w:hAnsi="Times New Roman" w:cs="Times New Roman"/>
          <w:sz w:val="22"/>
          <w:szCs w:val="22"/>
        </w:rPr>
      </w:pPr>
      <w:r>
        <w:rPr>
          <w:rFonts w:ascii="Times New Roman" w:eastAsia="Calibri" w:hAnsi="Times New Roman" w:cs="Times New Roman"/>
          <w:b/>
          <w:sz w:val="22"/>
          <w:szCs w:val="22"/>
          <w:u w:val="single"/>
        </w:rPr>
        <w:t>plagiaat (kellegi seisukohtade sõnasõnaline mahakirjutamine allikale viitamata</w:t>
      </w:r>
      <w:r>
        <w:rPr>
          <w:rFonts w:ascii="Times New Roman" w:eastAsia="Calibri" w:hAnsi="Times New Roman" w:cs="Times New Roman"/>
          <w:sz w:val="22"/>
          <w:szCs w:val="22"/>
        </w:rPr>
        <w:t xml:space="preserve">, </w:t>
      </w:r>
      <w:r>
        <w:rPr>
          <w:rFonts w:ascii="Times New Roman" w:eastAsia="Calibri" w:hAnsi="Times New Roman" w:cs="Times New Roman"/>
          <w:b/>
          <w:sz w:val="22"/>
          <w:szCs w:val="22"/>
          <w:u w:val="single"/>
        </w:rPr>
        <w:t>loomevargus).</w:t>
      </w:r>
      <w:r>
        <w:rPr>
          <w:rFonts w:ascii="Times New Roman" w:eastAsia="Calibri" w:hAnsi="Times New Roman" w:cs="Times New Roman"/>
          <w:sz w:val="22"/>
          <w:szCs w:val="22"/>
        </w:rPr>
        <w:t xml:space="preserve"> </w:t>
      </w:r>
    </w:p>
    <w:p w:rsidR="0010376C" w:rsidRDefault="0010376C" w:rsidP="0010376C">
      <w:pPr>
        <w:pStyle w:val="NormalWeb"/>
        <w:numPr>
          <w:ilvl w:val="0"/>
          <w:numId w:val="1"/>
        </w:numPr>
        <w:spacing w:after="100" w:afterAutospacing="1"/>
        <w:rPr>
          <w:sz w:val="22"/>
          <w:szCs w:val="22"/>
        </w:rPr>
      </w:pPr>
      <w:r>
        <w:rPr>
          <w:b/>
          <w:sz w:val="22"/>
          <w:szCs w:val="22"/>
          <w:u w:val="single"/>
        </w:rPr>
        <w:t xml:space="preserve">Metodoloogia </w:t>
      </w:r>
      <w:r>
        <w:rPr>
          <w:sz w:val="22"/>
          <w:szCs w:val="22"/>
        </w:rPr>
        <w:t>on teadustegevuses kasutavate meetodite ja menetlusviiside kirjeldamine ja uurimine. Metodoloogias on eriaegadel esinenud erinevaid rõhuasetusi ja suundi.</w:t>
      </w:r>
    </w:p>
    <w:p w:rsidR="0010376C" w:rsidRDefault="0010376C" w:rsidP="0010376C">
      <w:pPr>
        <w:pStyle w:val="Heading1"/>
        <w:rPr>
          <w:sz w:val="22"/>
          <w:szCs w:val="22"/>
        </w:rPr>
      </w:pPr>
    </w:p>
    <w:p w:rsidR="0010376C" w:rsidRDefault="0010376C" w:rsidP="0010376C">
      <w:pPr>
        <w:pStyle w:val="Heading1"/>
        <w:rPr>
          <w:sz w:val="22"/>
          <w:szCs w:val="22"/>
        </w:rPr>
      </w:pPr>
    </w:p>
    <w:p w:rsidR="00242BE5" w:rsidRDefault="00242BE5">
      <w:bookmarkStart w:id="1" w:name="_GoBack"/>
      <w:bookmarkEnd w:id="1"/>
    </w:p>
    <w:sectPr w:rsidR="0024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49DF"/>
    <w:multiLevelType w:val="hybridMultilevel"/>
    <w:tmpl w:val="6FCAFDE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6C"/>
    <w:rsid w:val="0010376C"/>
    <w:rsid w:val="00242BE5"/>
    <w:rsid w:val="00C71E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character" w:styleId="Hyperlink">
    <w:name w:val="Hyperlink"/>
    <w:basedOn w:val="DefaultParagraphFont"/>
    <w:semiHidden/>
    <w:unhideWhenUsed/>
    <w:rsid w:val="0010376C"/>
    <w:rPr>
      <w:color w:val="0000FF"/>
      <w:u w:val="single"/>
    </w:rPr>
  </w:style>
  <w:style w:type="paragraph" w:styleId="NormalWeb">
    <w:name w:val="Normal (Web)"/>
    <w:basedOn w:val="Normal"/>
    <w:semiHidden/>
    <w:unhideWhenUsed/>
    <w:rsid w:val="0010376C"/>
    <w:pPr>
      <w:spacing w:before="100" w:beforeAutospacing="1" w:after="119"/>
      <w:jc w:val="left"/>
    </w:pPr>
    <w:rPr>
      <w:rFonts w:ascii="Times New Roman" w:eastAsia="Calibri"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 w:type="character" w:styleId="Hyperlink">
    <w:name w:val="Hyperlink"/>
    <w:basedOn w:val="DefaultParagraphFont"/>
    <w:semiHidden/>
    <w:unhideWhenUsed/>
    <w:rsid w:val="0010376C"/>
    <w:rPr>
      <w:color w:val="0000FF"/>
      <w:u w:val="single"/>
    </w:rPr>
  </w:style>
  <w:style w:type="paragraph" w:styleId="NormalWeb">
    <w:name w:val="Normal (Web)"/>
    <w:basedOn w:val="Normal"/>
    <w:semiHidden/>
    <w:unhideWhenUsed/>
    <w:rsid w:val="0010376C"/>
    <w:pPr>
      <w:spacing w:before="100" w:beforeAutospacing="1" w:after="119"/>
      <w:jc w:val="left"/>
    </w:pPr>
    <w:rPr>
      <w:rFonts w:ascii="Times New Roman" w:eastAsia="Calibri"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wikipedia.org/w/index.php?title=Loogiline_m%C3%B5tlemine&amp;action=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2721</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1</cp:revision>
  <dcterms:created xsi:type="dcterms:W3CDTF">2014-10-06T17:49:00Z</dcterms:created>
  <dcterms:modified xsi:type="dcterms:W3CDTF">2014-10-06T17:50:00Z</dcterms:modified>
</cp:coreProperties>
</file>